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9A82" w14:textId="77777777" w:rsidR="0084569D" w:rsidRPr="005710F2" w:rsidRDefault="0084569D" w:rsidP="0084569D">
      <w:pPr>
        <w:pStyle w:val="ImagePlaceholder"/>
        <w:rPr>
          <w:rFonts w:asciiTheme="majorHAnsi" w:hAnsiTheme="majorHAnsi"/>
          <w:color w:val="auto"/>
        </w:rPr>
      </w:pPr>
      <w:r w:rsidRPr="005710F2">
        <w:rPr>
          <w:rFonts w:asciiTheme="majorHAnsi" w:hAnsiTheme="majorHAnsi"/>
          <w:noProof/>
          <w:color w:val="auto"/>
          <w:lang w:eastAsia="en-AU"/>
        </w:rPr>
        <mc:AlternateContent>
          <mc:Choice Requires="wps">
            <w:drawing>
              <wp:anchor distT="0" distB="0" distL="114300" distR="114300" simplePos="0" relativeHeight="251658240" behindDoc="1" locked="1" layoutInCell="1" allowOverlap="1" wp14:anchorId="3CAC912C" wp14:editId="672C59A4">
                <wp:simplePos x="0" y="0"/>
                <wp:positionH relativeFrom="column">
                  <wp:posOffset>-680720</wp:posOffset>
                </wp:positionH>
                <wp:positionV relativeFrom="paragraph">
                  <wp:posOffset>-619125</wp:posOffset>
                </wp:positionV>
                <wp:extent cx="7772400" cy="1911096"/>
                <wp:effectExtent l="0" t="0" r="0" b="0"/>
                <wp:wrapNone/>
                <wp:docPr id="16090075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11096"/>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9161" id="Rectangle 1" o:spid="_x0000_s1026" alt="&quot;&quot;" style="position:absolute;margin-left:-53.6pt;margin-top:-48.75pt;width:612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" fillcolor="#e5d2c2 [1301]" stroked="f" strokeweight="1pt">
                <w10:anchorlock/>
              </v:rect>
            </w:pict>
          </mc:Fallback>
        </mc:AlternateContent>
      </w:r>
    </w:p>
    <w:p w14:paraId="7B6F0ECB" w14:textId="05DAE655" w:rsidR="004F03F5" w:rsidRPr="005710F2" w:rsidRDefault="000812F6" w:rsidP="00A10C09">
      <w:pPr>
        <w:pStyle w:val="Title"/>
        <w:rPr>
          <w:color w:val="auto"/>
        </w:rPr>
      </w:pPr>
      <w:r w:rsidRPr="005710F2">
        <w:rPr>
          <w:color w:val="auto"/>
        </w:rPr>
        <w:t>EMILY HOWARD</w:t>
      </w:r>
    </w:p>
    <w:p w14:paraId="6E9769F8" w14:textId="45C43CBA" w:rsidR="004F03F5" w:rsidRPr="005710F2" w:rsidRDefault="000812F6" w:rsidP="005710F2">
      <w:pPr>
        <w:pStyle w:val="Subtitle"/>
        <w:spacing w:after="0"/>
        <w:rPr>
          <w:rFonts w:asciiTheme="majorHAnsi" w:hAnsiTheme="majorHAnsi"/>
          <w:color w:val="auto"/>
        </w:rPr>
      </w:pPr>
      <w:r w:rsidRPr="005710F2">
        <w:rPr>
          <w:rFonts w:asciiTheme="majorHAnsi" w:hAnsiTheme="majorHAnsi"/>
          <w:color w:val="auto"/>
        </w:rPr>
        <w:t>EXPERT OCCUPATIONAL THERAPIST</w:t>
      </w:r>
    </w:p>
    <w:p w14:paraId="0730AFD5" w14:textId="77777777" w:rsidR="005710F2" w:rsidRPr="005710F2" w:rsidRDefault="005710F2" w:rsidP="005710F2">
      <w:pPr>
        <w:spacing w:line="240" w:lineRule="auto"/>
        <w:rPr>
          <w:color w:val="auto"/>
        </w:rPr>
      </w:pPr>
      <w:proofErr w:type="spellStart"/>
      <w:r w:rsidRPr="005710F2">
        <w:rPr>
          <w:color w:val="auto"/>
        </w:rPr>
        <w:t>B.Occ.Thy</w:t>
      </w:r>
      <w:proofErr w:type="spellEnd"/>
      <w:r w:rsidRPr="005710F2">
        <w:rPr>
          <w:color w:val="auto"/>
        </w:rPr>
        <w:t xml:space="preserve">; </w:t>
      </w:r>
      <w:proofErr w:type="spellStart"/>
      <w:r w:rsidRPr="005710F2">
        <w:rPr>
          <w:color w:val="auto"/>
        </w:rPr>
        <w:t>GradDipSexology</w:t>
      </w:r>
      <w:proofErr w:type="spellEnd"/>
    </w:p>
    <w:p w14:paraId="6D739BE6" w14:textId="77777777" w:rsidR="005710F2" w:rsidRPr="005710F2" w:rsidRDefault="005710F2" w:rsidP="005710F2">
      <w:pPr>
        <w:rPr>
          <w:color w:val="auto"/>
        </w:rPr>
      </w:pPr>
    </w:p>
    <w:p w14:paraId="61061D91" w14:textId="77777777" w:rsidR="005710F2" w:rsidRPr="005710F2" w:rsidRDefault="005710F2" w:rsidP="005710F2">
      <w:pPr>
        <w:rPr>
          <w:color w:val="auto"/>
        </w:rPr>
      </w:pPr>
    </w:p>
    <w:p w14:paraId="7FA0C854" w14:textId="77777777" w:rsidR="00696489" w:rsidRPr="005710F2" w:rsidRDefault="00696489" w:rsidP="00696489">
      <w:pPr>
        <w:pStyle w:val="Heading1"/>
        <w:rPr>
          <w:color w:val="auto"/>
        </w:rPr>
      </w:pPr>
      <w:r w:rsidRPr="005710F2">
        <w:rPr>
          <w:color w:val="auto"/>
        </w:rPr>
        <w:t>qualifications and memberships</w:t>
      </w:r>
    </w:p>
    <w:p w14:paraId="563245FC" w14:textId="77777777" w:rsidR="00696489" w:rsidRPr="005710F2" w:rsidRDefault="00696489" w:rsidP="00696489">
      <w:pPr>
        <w:pStyle w:val="Style2"/>
        <w:rPr>
          <w:rFonts w:asciiTheme="majorHAnsi" w:hAnsiTheme="majorHAnsi"/>
          <w:color w:val="auto"/>
        </w:rPr>
      </w:pPr>
      <w:r w:rsidRPr="005710F2">
        <w:rPr>
          <w:rFonts w:asciiTheme="majorHAnsi" w:hAnsiTheme="majorHAnsi"/>
          <w:color w:val="auto"/>
        </w:rPr>
        <w:t>Bachelor of Occupational Therapy (2005)</w:t>
      </w:r>
    </w:p>
    <w:p w14:paraId="61B3BDF8" w14:textId="77777777" w:rsidR="00696489" w:rsidRPr="005710F2" w:rsidRDefault="00696489" w:rsidP="00696489">
      <w:pPr>
        <w:pStyle w:val="Style2"/>
        <w:rPr>
          <w:rFonts w:asciiTheme="majorHAnsi" w:hAnsiTheme="majorHAnsi"/>
          <w:color w:val="auto"/>
        </w:rPr>
      </w:pPr>
      <w:r w:rsidRPr="005710F2">
        <w:rPr>
          <w:rFonts w:asciiTheme="majorHAnsi" w:hAnsiTheme="majorHAnsi"/>
          <w:color w:val="auto"/>
        </w:rPr>
        <w:t>Post Graduate Diploma in Sexology (2016)</w:t>
      </w:r>
    </w:p>
    <w:p w14:paraId="478BC2BD" w14:textId="77777777" w:rsidR="00696489" w:rsidRPr="005710F2" w:rsidRDefault="00696489" w:rsidP="00696489">
      <w:pPr>
        <w:pStyle w:val="Style2"/>
        <w:rPr>
          <w:rFonts w:asciiTheme="majorHAnsi" w:hAnsiTheme="majorHAnsi"/>
          <w:color w:val="auto"/>
        </w:rPr>
      </w:pPr>
      <w:r w:rsidRPr="005710F2">
        <w:rPr>
          <w:rFonts w:asciiTheme="majorHAnsi" w:hAnsiTheme="majorHAnsi"/>
          <w:color w:val="auto"/>
        </w:rPr>
        <w:t>Australian Health Practitioner Regulation Agency (</w:t>
      </w:r>
      <w:proofErr w:type="spellStart"/>
      <w:r w:rsidRPr="005710F2">
        <w:rPr>
          <w:rFonts w:asciiTheme="majorHAnsi" w:hAnsiTheme="majorHAnsi"/>
          <w:color w:val="auto"/>
        </w:rPr>
        <w:t>AHPRA</w:t>
      </w:r>
      <w:proofErr w:type="spellEnd"/>
      <w:r w:rsidRPr="005710F2">
        <w:rPr>
          <w:rFonts w:asciiTheme="majorHAnsi" w:hAnsiTheme="majorHAnsi"/>
          <w:color w:val="auto"/>
        </w:rPr>
        <w:t xml:space="preserve">) Registration </w:t>
      </w:r>
    </w:p>
    <w:p w14:paraId="57BA98DC" w14:textId="77777777" w:rsidR="00696489" w:rsidRPr="005710F2" w:rsidRDefault="00696489" w:rsidP="00696489">
      <w:pPr>
        <w:pStyle w:val="Style2"/>
        <w:rPr>
          <w:rFonts w:asciiTheme="majorHAnsi" w:hAnsiTheme="majorHAnsi"/>
          <w:color w:val="auto"/>
        </w:rPr>
      </w:pPr>
      <w:proofErr w:type="spellStart"/>
      <w:r w:rsidRPr="005710F2">
        <w:rPr>
          <w:rFonts w:asciiTheme="majorHAnsi" w:hAnsiTheme="majorHAnsi"/>
          <w:color w:val="auto"/>
        </w:rPr>
        <w:t>FIM</w:t>
      </w:r>
      <w:proofErr w:type="spellEnd"/>
      <w:r w:rsidRPr="005710F2">
        <w:rPr>
          <w:rFonts w:asciiTheme="majorHAnsi" w:hAnsiTheme="majorHAnsi"/>
          <w:color w:val="auto"/>
        </w:rPr>
        <w:t xml:space="preserve"> accreditation</w:t>
      </w:r>
    </w:p>
    <w:p w14:paraId="2C8725B6" w14:textId="77777777" w:rsidR="00696489" w:rsidRPr="005710F2" w:rsidRDefault="00696489" w:rsidP="00696489">
      <w:pPr>
        <w:pStyle w:val="Style2"/>
        <w:rPr>
          <w:rFonts w:asciiTheme="majorHAnsi" w:hAnsiTheme="majorHAnsi"/>
          <w:color w:val="auto"/>
        </w:rPr>
      </w:pPr>
      <w:r w:rsidRPr="005710F2">
        <w:rPr>
          <w:rFonts w:asciiTheme="majorHAnsi" w:hAnsiTheme="majorHAnsi"/>
          <w:color w:val="auto"/>
        </w:rPr>
        <w:t>OT Australia Membership</w:t>
      </w:r>
    </w:p>
    <w:p w14:paraId="57BE7F46" w14:textId="77777777" w:rsidR="00696489" w:rsidRPr="005710F2" w:rsidRDefault="00696489" w:rsidP="00696489">
      <w:pPr>
        <w:pStyle w:val="Style2"/>
        <w:rPr>
          <w:rFonts w:asciiTheme="majorHAnsi" w:hAnsiTheme="majorHAnsi"/>
          <w:color w:val="auto"/>
        </w:rPr>
      </w:pPr>
      <w:r w:rsidRPr="005710F2">
        <w:rPr>
          <w:rFonts w:asciiTheme="majorHAnsi" w:hAnsiTheme="majorHAnsi"/>
          <w:color w:val="auto"/>
        </w:rPr>
        <w:t>DVA provider</w:t>
      </w:r>
    </w:p>
    <w:p w14:paraId="522496B9" w14:textId="42257732" w:rsidR="00696489" w:rsidRPr="005710F2" w:rsidRDefault="00696489" w:rsidP="00696489">
      <w:pPr>
        <w:pStyle w:val="Style2"/>
        <w:rPr>
          <w:rFonts w:asciiTheme="majorHAnsi" w:hAnsiTheme="majorHAnsi"/>
          <w:color w:val="auto"/>
        </w:rPr>
      </w:pPr>
      <w:r w:rsidRPr="005710F2">
        <w:rPr>
          <w:rFonts w:asciiTheme="majorHAnsi" w:hAnsiTheme="majorHAnsi"/>
          <w:color w:val="auto"/>
        </w:rPr>
        <w:t>Medicare provider</w:t>
      </w:r>
    </w:p>
    <w:p w14:paraId="6B29BE9D" w14:textId="77777777" w:rsidR="00696489" w:rsidRPr="005710F2" w:rsidRDefault="00696489" w:rsidP="00696489">
      <w:pPr>
        <w:pBdr>
          <w:bottom w:val="single" w:sz="4" w:space="1" w:color="auto"/>
        </w:pBdr>
        <w:rPr>
          <w:rFonts w:asciiTheme="majorHAnsi" w:hAnsiTheme="majorHAnsi"/>
          <w:color w:val="auto"/>
        </w:rPr>
      </w:pPr>
    </w:p>
    <w:p w14:paraId="18940461" w14:textId="77777777" w:rsidR="00696489" w:rsidRPr="005710F2" w:rsidRDefault="00696489" w:rsidP="0002353C">
      <w:pPr>
        <w:rPr>
          <w:rFonts w:asciiTheme="majorHAnsi" w:hAnsiTheme="majorHAnsi"/>
          <w:color w:val="auto"/>
        </w:rPr>
      </w:pPr>
    </w:p>
    <w:p w14:paraId="35288FD2" w14:textId="77777777" w:rsidR="00696489" w:rsidRPr="005710F2" w:rsidRDefault="00696489" w:rsidP="005F6162">
      <w:pPr>
        <w:pStyle w:val="Heading1"/>
        <w:spacing w:after="60"/>
        <w:rPr>
          <w:color w:val="auto"/>
        </w:rPr>
      </w:pPr>
      <w:r w:rsidRPr="005710F2">
        <w:rPr>
          <w:color w:val="auto"/>
        </w:rPr>
        <w:t>current position</w:t>
      </w:r>
    </w:p>
    <w:p w14:paraId="726184B7" w14:textId="30DB21BF" w:rsidR="00220379" w:rsidRPr="005710F2" w:rsidRDefault="00220379" w:rsidP="00220379">
      <w:pPr>
        <w:pStyle w:val="Heading2"/>
        <w:rPr>
          <w:color w:val="auto"/>
        </w:rPr>
      </w:pPr>
      <w:r>
        <w:rPr>
          <w:color w:val="auto"/>
        </w:rPr>
        <w:t>insight medicolegal</w:t>
      </w:r>
      <w:r w:rsidRPr="005710F2">
        <w:rPr>
          <w:color w:val="auto"/>
        </w:rPr>
        <w:t xml:space="preserve"> • </w:t>
      </w:r>
      <w:r>
        <w:rPr>
          <w:color w:val="auto"/>
        </w:rPr>
        <w:t xml:space="preserve">April 2023 </w:t>
      </w:r>
      <w:r w:rsidRPr="005710F2">
        <w:rPr>
          <w:color w:val="auto"/>
        </w:rPr>
        <w:t>- current</w:t>
      </w:r>
    </w:p>
    <w:p w14:paraId="2BC30C27" w14:textId="77777777" w:rsidR="00220379" w:rsidRPr="005710F2" w:rsidRDefault="00220379" w:rsidP="00220379">
      <w:pPr>
        <w:pStyle w:val="Heading3"/>
        <w:spacing w:before="60" w:after="60"/>
        <w:rPr>
          <w:rFonts w:asciiTheme="majorHAnsi" w:hAnsiTheme="majorHAnsi"/>
          <w:color w:val="auto"/>
        </w:rPr>
      </w:pPr>
      <w:r w:rsidRPr="005710F2">
        <w:rPr>
          <w:rFonts w:asciiTheme="majorHAnsi" w:hAnsiTheme="majorHAnsi"/>
          <w:color w:val="auto"/>
        </w:rPr>
        <w:t>Comprehensive assessment and preparation of high quality and professional medicolegal reports. Presenting evidence as expert witness at trial proceedings.</w:t>
      </w:r>
    </w:p>
    <w:p w14:paraId="7FBF8BC2" w14:textId="77777777" w:rsidR="00220379" w:rsidRPr="00220379" w:rsidRDefault="00220379" w:rsidP="00220379"/>
    <w:p w14:paraId="702234F1" w14:textId="0394DACB" w:rsidR="00696489" w:rsidRPr="005710F2" w:rsidRDefault="00696489" w:rsidP="00696489">
      <w:pPr>
        <w:pStyle w:val="Heading2"/>
        <w:rPr>
          <w:color w:val="auto"/>
        </w:rPr>
      </w:pPr>
      <w:r w:rsidRPr="005710F2">
        <w:rPr>
          <w:color w:val="auto"/>
        </w:rPr>
        <w:t>buderim private hospital • October 2021 - current</w:t>
      </w:r>
    </w:p>
    <w:p w14:paraId="6B55F098"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Inpatient and outpatient rehabilitation, home modifications, equipment prescription, compression bandaging for oedema management, garment measure and prescription (upper and lower limb), acute ward discharge planning, Overcoming Pain Program.</w:t>
      </w:r>
    </w:p>
    <w:p w14:paraId="0AAF7144" w14:textId="77777777" w:rsidR="00696489" w:rsidRPr="005710F2" w:rsidRDefault="00696489" w:rsidP="00696489">
      <w:pPr>
        <w:pBdr>
          <w:bottom w:val="single" w:sz="4" w:space="1" w:color="auto"/>
        </w:pBdr>
        <w:rPr>
          <w:rFonts w:asciiTheme="majorHAnsi" w:hAnsiTheme="majorHAnsi"/>
          <w:color w:val="auto"/>
        </w:rPr>
      </w:pPr>
    </w:p>
    <w:p w14:paraId="0E230E07" w14:textId="77777777" w:rsidR="00696489" w:rsidRPr="005710F2" w:rsidRDefault="00696489" w:rsidP="0002353C">
      <w:pPr>
        <w:rPr>
          <w:rFonts w:asciiTheme="majorHAnsi" w:hAnsiTheme="majorHAnsi"/>
          <w:color w:val="auto"/>
        </w:rPr>
      </w:pPr>
    </w:p>
    <w:p w14:paraId="045D5333" w14:textId="77777777" w:rsidR="00696489" w:rsidRPr="005710F2" w:rsidRDefault="00696489" w:rsidP="005F6162">
      <w:pPr>
        <w:pStyle w:val="Heading1"/>
        <w:spacing w:after="60"/>
        <w:rPr>
          <w:color w:val="auto"/>
        </w:rPr>
      </w:pPr>
      <w:r w:rsidRPr="005710F2">
        <w:rPr>
          <w:color w:val="auto"/>
        </w:rPr>
        <w:t>EXPERIENCES</w:t>
      </w:r>
    </w:p>
    <w:p w14:paraId="0B4D81DB" w14:textId="77777777" w:rsidR="00696489" w:rsidRPr="005710F2" w:rsidRDefault="00696489" w:rsidP="005F6162">
      <w:pPr>
        <w:pStyle w:val="Heading2"/>
        <w:spacing w:before="60" w:after="60"/>
        <w:rPr>
          <w:color w:val="auto"/>
        </w:rPr>
      </w:pPr>
      <w:proofErr w:type="spellStart"/>
      <w:r w:rsidRPr="005710F2">
        <w:rPr>
          <w:color w:val="auto"/>
        </w:rPr>
        <w:t>MLEA</w:t>
      </w:r>
      <w:proofErr w:type="spellEnd"/>
      <w:r w:rsidRPr="005710F2">
        <w:rPr>
          <w:color w:val="auto"/>
        </w:rPr>
        <w:t>• June 2017 – January 2023</w:t>
      </w:r>
    </w:p>
    <w:p w14:paraId="377B561F" w14:textId="1D6F3509"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Comprehensive assessment and preparation of high quality and professional medicolegal reports.</w:t>
      </w:r>
      <w:r w:rsidR="005F6162" w:rsidRPr="005710F2">
        <w:rPr>
          <w:rFonts w:asciiTheme="majorHAnsi" w:hAnsiTheme="majorHAnsi"/>
          <w:color w:val="auto"/>
        </w:rPr>
        <w:t xml:space="preserve"> Presenting evidence as expert witness at trial proceedings.</w:t>
      </w:r>
    </w:p>
    <w:p w14:paraId="11A3B982" w14:textId="77777777" w:rsidR="00696489" w:rsidRPr="005710F2" w:rsidRDefault="00696489" w:rsidP="005F6162">
      <w:pPr>
        <w:pStyle w:val="Heading2"/>
        <w:spacing w:before="160" w:after="60"/>
        <w:rPr>
          <w:color w:val="auto"/>
        </w:rPr>
      </w:pPr>
      <w:r w:rsidRPr="005710F2">
        <w:rPr>
          <w:color w:val="auto"/>
        </w:rPr>
        <w:t>Brisbane private hospital • November 2015 – october 2021</w:t>
      </w:r>
    </w:p>
    <w:p w14:paraId="51106653"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Inpatient rehabilitation, home modifications, equipment prescription, oedema and lymphoedema management, garment measure and prescription (upper and lower limb), acute ward discharge planning, education groups (energy conservation, back care and falls prevention).</w:t>
      </w:r>
    </w:p>
    <w:p w14:paraId="7D325D88" w14:textId="77777777" w:rsidR="00696489" w:rsidRPr="005710F2" w:rsidRDefault="00696489" w:rsidP="005F6162">
      <w:pPr>
        <w:pStyle w:val="Heading2"/>
        <w:spacing w:before="160" w:after="60"/>
        <w:rPr>
          <w:color w:val="auto"/>
        </w:rPr>
      </w:pPr>
      <w:r w:rsidRPr="005710F2">
        <w:rPr>
          <w:color w:val="auto"/>
        </w:rPr>
        <w:t>Jacana Acquired brain injury service • june 2016 – april 2017</w:t>
      </w:r>
    </w:p>
    <w:p w14:paraId="103B3361"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Inpatient neurological rehabilitation. Comprehensive physical, cognitive and functional assessment and intervention. Complex home modifications and equipment prescription. Hypertonicity management, pressure injury prevention and management. </w:t>
      </w:r>
    </w:p>
    <w:p w14:paraId="4A2EC536" w14:textId="77777777" w:rsidR="00696489" w:rsidRPr="005710F2" w:rsidRDefault="00696489" w:rsidP="005F6162">
      <w:pPr>
        <w:pStyle w:val="Heading2"/>
        <w:spacing w:before="160" w:after="60"/>
        <w:rPr>
          <w:color w:val="auto"/>
        </w:rPr>
      </w:pPr>
      <w:r w:rsidRPr="005710F2">
        <w:rPr>
          <w:color w:val="auto"/>
        </w:rPr>
        <w:t>canossa rehabilitation hospital• june 2015 – september 2015</w:t>
      </w:r>
    </w:p>
    <w:p w14:paraId="7F509290"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lastRenderedPageBreak/>
        <w:t xml:space="preserve">Inpatient and outpatient physical, functional and cognitive assessment and intervention. Home assessment and modifications, equipment prescription, oedema management, energy conservation and back care education. </w:t>
      </w:r>
    </w:p>
    <w:p w14:paraId="5113985F" w14:textId="77777777" w:rsidR="00696489" w:rsidRPr="005710F2" w:rsidRDefault="00696489" w:rsidP="005F6162">
      <w:pPr>
        <w:pStyle w:val="Heading2"/>
        <w:spacing w:before="160" w:after="60"/>
        <w:rPr>
          <w:color w:val="auto"/>
        </w:rPr>
      </w:pPr>
      <w:r w:rsidRPr="005710F2">
        <w:rPr>
          <w:color w:val="auto"/>
        </w:rPr>
        <w:t>results rehab group • november 2014 – march 2016</w:t>
      </w:r>
    </w:p>
    <w:p w14:paraId="77C94A4D" w14:textId="77777777" w:rsidR="00696489" w:rsidRPr="005710F2" w:rsidRDefault="00696489" w:rsidP="005F6162">
      <w:pPr>
        <w:pStyle w:val="Heading3"/>
        <w:spacing w:before="60" w:after="60"/>
        <w:rPr>
          <w:rFonts w:asciiTheme="majorHAnsi" w:hAnsiTheme="majorHAnsi"/>
          <w:color w:val="auto"/>
          <w:sz w:val="24"/>
        </w:rPr>
      </w:pPr>
      <w:r w:rsidRPr="005710F2">
        <w:rPr>
          <w:rFonts w:asciiTheme="majorHAnsi" w:hAnsiTheme="majorHAnsi"/>
          <w:color w:val="auto"/>
        </w:rPr>
        <w:t>Community home visits. Assessment of functional independence and risk. Cognitive assessment and management. Prescription of equipment and mobility aids including power drive wheelchairs. Oedema assessment and management. Upper limb assessment and intervention. Splint fabrication. Major and minor home modifications.</w:t>
      </w:r>
    </w:p>
    <w:p w14:paraId="76072D70" w14:textId="77777777" w:rsidR="00696489" w:rsidRPr="005710F2" w:rsidRDefault="00696489" w:rsidP="005F6162">
      <w:pPr>
        <w:pStyle w:val="Heading2"/>
        <w:spacing w:before="160" w:after="60"/>
        <w:rPr>
          <w:color w:val="auto"/>
        </w:rPr>
      </w:pPr>
      <w:r w:rsidRPr="005710F2">
        <w:rPr>
          <w:color w:val="auto"/>
        </w:rPr>
        <w:t>SUNNYBANK PRIVATE HOSPITAL • SEPTEMBER 2011 – NOVEMBER 2014</w:t>
      </w:r>
    </w:p>
    <w:p w14:paraId="0C67286A"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Inpatient rehabilitation, home modifications, equipment prescription, oedema and lymphoedema management, garment measure and prescription (upper and lower limb), acute ward discharge planning, education groups (energy conservation, back care and falls prevention).</w:t>
      </w:r>
    </w:p>
    <w:p w14:paraId="6C861CA2" w14:textId="77777777" w:rsidR="00696489" w:rsidRPr="005710F2" w:rsidRDefault="00696489" w:rsidP="005F6162">
      <w:pPr>
        <w:pStyle w:val="Heading2"/>
        <w:spacing w:before="160" w:after="60"/>
        <w:rPr>
          <w:color w:val="auto"/>
        </w:rPr>
      </w:pPr>
      <w:r w:rsidRPr="005710F2">
        <w:rPr>
          <w:color w:val="auto"/>
        </w:rPr>
        <w:t>canterbury HOSPITAL • november 2009 – june 2011</w:t>
      </w:r>
    </w:p>
    <w:p w14:paraId="7005608B" w14:textId="3E55EA6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Inpatient and community </w:t>
      </w:r>
      <w:r w:rsidR="005154D3">
        <w:rPr>
          <w:rFonts w:asciiTheme="majorHAnsi" w:hAnsiTheme="majorHAnsi"/>
          <w:color w:val="auto"/>
        </w:rPr>
        <w:t>palliative care. F</w:t>
      </w:r>
      <w:r w:rsidRPr="005710F2">
        <w:rPr>
          <w:rFonts w:asciiTheme="majorHAnsi" w:hAnsiTheme="majorHAnsi"/>
          <w:color w:val="auto"/>
        </w:rPr>
        <w:t>unctional and cognitive assessments. Home assessments and home modifications. Equipment prescription, pressure injury prevention and management, oedema and lymphoedema management, education (energy conservation, breathlessness, fatigue, falls prevention, anticipatory grief). Hospital falls committee member, member of oncology and palliative care network group.</w:t>
      </w:r>
    </w:p>
    <w:p w14:paraId="1955B1B4" w14:textId="77777777" w:rsidR="00696489" w:rsidRPr="005710F2" w:rsidRDefault="00696489" w:rsidP="005F6162">
      <w:pPr>
        <w:pStyle w:val="Heading2"/>
        <w:spacing w:before="160" w:after="60"/>
        <w:rPr>
          <w:color w:val="auto"/>
        </w:rPr>
      </w:pPr>
      <w:r w:rsidRPr="005710F2">
        <w:rPr>
          <w:color w:val="auto"/>
        </w:rPr>
        <w:t>shepparton HOSPITAL • october 2009 – november 2009</w:t>
      </w:r>
    </w:p>
    <w:p w14:paraId="078F0DF3"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Medical, surgical and emergency wards. Assessment of cognition and function, equipment prescription, engagement with community supports and discharge planning. </w:t>
      </w:r>
    </w:p>
    <w:p w14:paraId="1616E8AA" w14:textId="77777777" w:rsidR="00696489" w:rsidRPr="005710F2" w:rsidRDefault="00696489" w:rsidP="005F6162">
      <w:pPr>
        <w:pStyle w:val="Heading2"/>
        <w:spacing w:before="160" w:after="60"/>
        <w:rPr>
          <w:color w:val="auto"/>
        </w:rPr>
      </w:pPr>
      <w:r w:rsidRPr="005710F2">
        <w:rPr>
          <w:color w:val="auto"/>
        </w:rPr>
        <w:t>geelong HOSPITAL • august 2009 – october 2009</w:t>
      </w:r>
    </w:p>
    <w:p w14:paraId="07E87CE1"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Medical, surgical, cardiac, respiratory and oncology wards. Assessment of cognition and function, equipment prescription, engagement with community supports and discharge planning. Cardiac rehabilitation education.</w:t>
      </w:r>
    </w:p>
    <w:p w14:paraId="7D0B8346" w14:textId="4B599023" w:rsidR="00696489" w:rsidRPr="005710F2" w:rsidRDefault="00696489" w:rsidP="005F6162">
      <w:pPr>
        <w:pStyle w:val="Heading2"/>
        <w:spacing w:before="160" w:after="60"/>
        <w:rPr>
          <w:color w:val="auto"/>
        </w:rPr>
      </w:pPr>
      <w:r w:rsidRPr="005710F2">
        <w:rPr>
          <w:color w:val="auto"/>
        </w:rPr>
        <w:t xml:space="preserve">hand </w:t>
      </w:r>
      <w:r w:rsidR="00C530CD" w:rsidRPr="005710F2">
        <w:rPr>
          <w:color w:val="auto"/>
        </w:rPr>
        <w:t>INJURY</w:t>
      </w:r>
      <w:r w:rsidRPr="005710F2">
        <w:rPr>
          <w:color w:val="auto"/>
        </w:rPr>
        <w:t xml:space="preserve"> clinics • february 2009 – august 2009</w:t>
      </w:r>
    </w:p>
    <w:p w14:paraId="3DB815D5"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Assessment and intervention of common hand conditions and rehabilitation post-surgery. Splint fabrication. Reading X-rays. Liaison with surgeons, specialists, general practitioners. Worksite assessments. </w:t>
      </w:r>
    </w:p>
    <w:p w14:paraId="5A2A5A87" w14:textId="77777777" w:rsidR="00696489" w:rsidRPr="005710F2" w:rsidRDefault="00696489" w:rsidP="005F6162">
      <w:pPr>
        <w:pStyle w:val="Heading2"/>
        <w:spacing w:before="160" w:after="60"/>
        <w:rPr>
          <w:color w:val="auto"/>
        </w:rPr>
      </w:pPr>
      <w:r w:rsidRPr="005710F2">
        <w:rPr>
          <w:color w:val="auto"/>
        </w:rPr>
        <w:t>mersey community hospital • january 2008 – april 2008</w:t>
      </w:r>
    </w:p>
    <w:p w14:paraId="25DFD831"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Inpatient assessment and intervention. Medical, surgical and emergency wards. Cardiac rehabilitation. </w:t>
      </w:r>
    </w:p>
    <w:p w14:paraId="17759FE7" w14:textId="77777777" w:rsidR="00696489" w:rsidRPr="005710F2" w:rsidRDefault="00696489" w:rsidP="005F6162">
      <w:pPr>
        <w:pStyle w:val="Heading2"/>
        <w:spacing w:before="160" w:after="60"/>
        <w:rPr>
          <w:color w:val="auto"/>
        </w:rPr>
      </w:pPr>
      <w:r w:rsidRPr="005710F2">
        <w:rPr>
          <w:color w:val="auto"/>
        </w:rPr>
        <w:t>SUTHERLAND hospital • FEBRUARY 2007 – JANUARY 2008</w:t>
      </w:r>
    </w:p>
    <w:p w14:paraId="16841B11" w14:textId="77777777" w:rsidR="00696489"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Orthopaedic and aged care wards. Preadmission clinic. Outpatient education. Home assessments, equipment prescription, life skills assessment and upskill.</w:t>
      </w:r>
    </w:p>
    <w:p w14:paraId="650F0CDA" w14:textId="77777777" w:rsidR="00696489" w:rsidRPr="005710F2" w:rsidRDefault="00696489" w:rsidP="005F6162">
      <w:pPr>
        <w:pStyle w:val="Heading2"/>
        <w:spacing w:before="160" w:after="60"/>
        <w:rPr>
          <w:color w:val="auto"/>
        </w:rPr>
      </w:pPr>
      <w:r w:rsidRPr="005710F2">
        <w:rPr>
          <w:color w:val="auto"/>
        </w:rPr>
        <w:t>mareeba base hospital • april 2006 – december 2006</w:t>
      </w:r>
    </w:p>
    <w:p w14:paraId="04D3ED4D" w14:textId="0F24C241" w:rsidR="00D9292D" w:rsidRPr="005710F2" w:rsidRDefault="00696489" w:rsidP="005F6162">
      <w:pPr>
        <w:pStyle w:val="Heading3"/>
        <w:spacing w:before="60" w:after="60"/>
        <w:rPr>
          <w:rFonts w:asciiTheme="majorHAnsi" w:hAnsiTheme="majorHAnsi"/>
          <w:color w:val="auto"/>
        </w:rPr>
      </w:pPr>
      <w:r w:rsidRPr="005710F2">
        <w:rPr>
          <w:rFonts w:asciiTheme="majorHAnsi" w:hAnsiTheme="majorHAnsi"/>
          <w:color w:val="auto"/>
        </w:rPr>
        <w:t xml:space="preserve">Inpatient acute and rehabilitation patients. Intervention and discharge planning. Pressure care. Equipment prescription. Home assessments. Outpatient rehabilitation. </w:t>
      </w:r>
      <w:r w:rsidRPr="005710F2">
        <w:rPr>
          <w:rFonts w:asciiTheme="majorHAnsi" w:hAnsiTheme="majorHAnsi"/>
          <w:noProof/>
          <w:color w:val="auto"/>
        </w:rPr>
        <w:t>Pediatrics</w:t>
      </w:r>
      <w:r w:rsidRPr="005710F2">
        <w:rPr>
          <w:rFonts w:asciiTheme="majorHAnsi" w:hAnsiTheme="majorHAnsi"/>
          <w:color w:val="auto"/>
        </w:rPr>
        <w:t>. Hand and upper limb assessment and intervention. Lymphoedema management.</w:t>
      </w:r>
    </w:p>
    <w:sectPr w:rsidR="00D9292D" w:rsidRPr="005710F2"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BF8D" w14:textId="77777777" w:rsidR="00036BA0" w:rsidRDefault="00036BA0" w:rsidP="00F316AD">
      <w:r>
        <w:separator/>
      </w:r>
    </w:p>
  </w:endnote>
  <w:endnote w:type="continuationSeparator" w:id="0">
    <w:p w14:paraId="675D4BE5" w14:textId="77777777" w:rsidR="00036BA0" w:rsidRDefault="00036BA0" w:rsidP="00F316AD">
      <w:r>
        <w:continuationSeparator/>
      </w:r>
    </w:p>
  </w:endnote>
  <w:endnote w:type="continuationNotice" w:id="1">
    <w:p w14:paraId="7B5F2D7C" w14:textId="77777777" w:rsidR="00036BA0" w:rsidRDefault="00036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0F3C" w14:textId="77777777" w:rsidR="00036BA0" w:rsidRDefault="00036BA0" w:rsidP="00F316AD">
      <w:r>
        <w:separator/>
      </w:r>
    </w:p>
  </w:footnote>
  <w:footnote w:type="continuationSeparator" w:id="0">
    <w:p w14:paraId="3E1B2821" w14:textId="77777777" w:rsidR="00036BA0" w:rsidRDefault="00036BA0" w:rsidP="00F316AD">
      <w:r>
        <w:continuationSeparator/>
      </w:r>
    </w:p>
  </w:footnote>
  <w:footnote w:type="continuationNotice" w:id="1">
    <w:p w14:paraId="3CAB3D2C" w14:textId="77777777" w:rsidR="00036BA0" w:rsidRDefault="00036B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0105"/>
    <w:multiLevelType w:val="hybridMultilevel"/>
    <w:tmpl w:val="1EB09D72"/>
    <w:lvl w:ilvl="0" w:tplc="2DF0ABD2">
      <w:start w:val="1"/>
      <w:numFmt w:val="bullet"/>
      <w:pStyle w:val="Style2"/>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B01A1"/>
    <w:multiLevelType w:val="hybridMultilevel"/>
    <w:tmpl w:val="4F4A3A06"/>
    <w:lvl w:ilvl="0" w:tplc="4B36EFE4">
      <w:start w:val="1"/>
      <w:numFmt w:val="bullet"/>
      <w:pStyle w:val="CVbullet"/>
      <w:lvlText w:val=""/>
      <w:lvlJc w:val="left"/>
      <w:pPr>
        <w:ind w:left="360" w:hanging="360"/>
      </w:pPr>
      <w:rPr>
        <w:rFonts w:ascii="Wingdings" w:hAnsi="Wingdings" w:hint="default"/>
        <w:b/>
        <w:bCs w:val="0"/>
        <w:i w:val="0"/>
        <w:iCs w:val="0"/>
        <w:caps w:val="0"/>
        <w:smallCaps w:val="0"/>
        <w:strike w:val="0"/>
        <w:dstrike w:val="0"/>
        <w:color w:val="399DB1"/>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68C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A6B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0CFB6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A067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A25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CA58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CE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AC5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375124">
    <w:abstractNumId w:val="3"/>
  </w:num>
  <w:num w:numId="2" w16cid:durableId="422535719">
    <w:abstractNumId w:val="0"/>
  </w:num>
  <w:num w:numId="3" w16cid:durableId="1810049275">
    <w:abstractNumId w:val="2"/>
  </w:num>
  <w:num w:numId="4" w16cid:durableId="708191328">
    <w:abstractNumId w:val="1"/>
  </w:num>
  <w:num w:numId="5" w16cid:durableId="708182554">
    <w:abstractNumId w:val="0"/>
  </w:num>
  <w:num w:numId="6" w16cid:durableId="195154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F6"/>
    <w:rsid w:val="00000AEC"/>
    <w:rsid w:val="0002353C"/>
    <w:rsid w:val="000238CE"/>
    <w:rsid w:val="00036BA0"/>
    <w:rsid w:val="000453C1"/>
    <w:rsid w:val="00064602"/>
    <w:rsid w:val="00065553"/>
    <w:rsid w:val="000812F6"/>
    <w:rsid w:val="000E1D44"/>
    <w:rsid w:val="00101AAB"/>
    <w:rsid w:val="00137C2D"/>
    <w:rsid w:val="0015252B"/>
    <w:rsid w:val="0016696C"/>
    <w:rsid w:val="001755F8"/>
    <w:rsid w:val="00186FDF"/>
    <w:rsid w:val="00194350"/>
    <w:rsid w:val="001A4DBF"/>
    <w:rsid w:val="001B744B"/>
    <w:rsid w:val="001C4A17"/>
    <w:rsid w:val="0020696E"/>
    <w:rsid w:val="00210701"/>
    <w:rsid w:val="00220379"/>
    <w:rsid w:val="002356A2"/>
    <w:rsid w:val="00260B1C"/>
    <w:rsid w:val="00271A16"/>
    <w:rsid w:val="002745A5"/>
    <w:rsid w:val="00280DBB"/>
    <w:rsid w:val="00294052"/>
    <w:rsid w:val="0029770D"/>
    <w:rsid w:val="002D12DA"/>
    <w:rsid w:val="002E654A"/>
    <w:rsid w:val="003019B2"/>
    <w:rsid w:val="00311FD2"/>
    <w:rsid w:val="003220F2"/>
    <w:rsid w:val="0033248B"/>
    <w:rsid w:val="003334FA"/>
    <w:rsid w:val="00334C44"/>
    <w:rsid w:val="0034688D"/>
    <w:rsid w:val="00366C2A"/>
    <w:rsid w:val="003A08F7"/>
    <w:rsid w:val="003E4F28"/>
    <w:rsid w:val="003E7565"/>
    <w:rsid w:val="003F2D42"/>
    <w:rsid w:val="0040233B"/>
    <w:rsid w:val="00446803"/>
    <w:rsid w:val="00471FD0"/>
    <w:rsid w:val="00481994"/>
    <w:rsid w:val="004B5F10"/>
    <w:rsid w:val="004F03F5"/>
    <w:rsid w:val="004F531F"/>
    <w:rsid w:val="00511A6E"/>
    <w:rsid w:val="005154D3"/>
    <w:rsid w:val="005630CF"/>
    <w:rsid w:val="005710F2"/>
    <w:rsid w:val="0057534A"/>
    <w:rsid w:val="00597AD7"/>
    <w:rsid w:val="005F6162"/>
    <w:rsid w:val="00605A5B"/>
    <w:rsid w:val="00611CD0"/>
    <w:rsid w:val="006261C5"/>
    <w:rsid w:val="00647EE2"/>
    <w:rsid w:val="0066075C"/>
    <w:rsid w:val="00664E89"/>
    <w:rsid w:val="00692B82"/>
    <w:rsid w:val="00696489"/>
    <w:rsid w:val="006C60E6"/>
    <w:rsid w:val="006E70D3"/>
    <w:rsid w:val="007127A0"/>
    <w:rsid w:val="007302D3"/>
    <w:rsid w:val="007A2C3A"/>
    <w:rsid w:val="007A3D57"/>
    <w:rsid w:val="007B0F94"/>
    <w:rsid w:val="007B3957"/>
    <w:rsid w:val="0084513D"/>
    <w:rsid w:val="0084569D"/>
    <w:rsid w:val="0084757D"/>
    <w:rsid w:val="00872A76"/>
    <w:rsid w:val="008A01CE"/>
    <w:rsid w:val="008B6E66"/>
    <w:rsid w:val="008C5144"/>
    <w:rsid w:val="008C77A1"/>
    <w:rsid w:val="008D0091"/>
    <w:rsid w:val="009079F3"/>
    <w:rsid w:val="00927425"/>
    <w:rsid w:val="009538EE"/>
    <w:rsid w:val="009A7E48"/>
    <w:rsid w:val="009C0059"/>
    <w:rsid w:val="009C0C11"/>
    <w:rsid w:val="009D1B58"/>
    <w:rsid w:val="009F6F67"/>
    <w:rsid w:val="00A005D6"/>
    <w:rsid w:val="00A03035"/>
    <w:rsid w:val="00A10C09"/>
    <w:rsid w:val="00A125E9"/>
    <w:rsid w:val="00A134EE"/>
    <w:rsid w:val="00A23870"/>
    <w:rsid w:val="00A24B78"/>
    <w:rsid w:val="00A63F8D"/>
    <w:rsid w:val="00A76A25"/>
    <w:rsid w:val="00A77921"/>
    <w:rsid w:val="00AA3EF7"/>
    <w:rsid w:val="00AC0430"/>
    <w:rsid w:val="00B471FA"/>
    <w:rsid w:val="00B575FB"/>
    <w:rsid w:val="00BF7B29"/>
    <w:rsid w:val="00C064CA"/>
    <w:rsid w:val="00C1095A"/>
    <w:rsid w:val="00C36587"/>
    <w:rsid w:val="00C530CD"/>
    <w:rsid w:val="00C55791"/>
    <w:rsid w:val="00C55D85"/>
    <w:rsid w:val="00CA2273"/>
    <w:rsid w:val="00CD008D"/>
    <w:rsid w:val="00CD50FD"/>
    <w:rsid w:val="00CD7F27"/>
    <w:rsid w:val="00CE2B1B"/>
    <w:rsid w:val="00CE4EAB"/>
    <w:rsid w:val="00CE7496"/>
    <w:rsid w:val="00CF1FD7"/>
    <w:rsid w:val="00D05DEF"/>
    <w:rsid w:val="00D255E1"/>
    <w:rsid w:val="00D365FA"/>
    <w:rsid w:val="00D47124"/>
    <w:rsid w:val="00D834F0"/>
    <w:rsid w:val="00D9292D"/>
    <w:rsid w:val="00DC715A"/>
    <w:rsid w:val="00DD5D7B"/>
    <w:rsid w:val="00DE7CC5"/>
    <w:rsid w:val="00E10F01"/>
    <w:rsid w:val="00E11608"/>
    <w:rsid w:val="00E61BAC"/>
    <w:rsid w:val="00E842E3"/>
    <w:rsid w:val="00EB3739"/>
    <w:rsid w:val="00EE2991"/>
    <w:rsid w:val="00EE2BDB"/>
    <w:rsid w:val="00F012B4"/>
    <w:rsid w:val="00F316AD"/>
    <w:rsid w:val="00F42EBA"/>
    <w:rsid w:val="00F4501B"/>
    <w:rsid w:val="00F4615D"/>
    <w:rsid w:val="00F66573"/>
    <w:rsid w:val="00F7416C"/>
    <w:rsid w:val="00F91E10"/>
    <w:rsid w:val="00FB34EE"/>
    <w:rsid w:val="00FC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59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3248B"/>
    <w:pPr>
      <w:spacing w:line="288" w:lineRule="auto"/>
    </w:pPr>
    <w:rPr>
      <w:color w:val="404040" w:themeColor="text1" w:themeTint="BF"/>
      <w:sz w:val="20"/>
      <w:lang w:val="en-AU"/>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 w:type="paragraph" w:customStyle="1" w:styleId="CVbullet">
    <w:name w:val="CV bullet"/>
    <w:basedOn w:val="BodyText"/>
    <w:link w:val="CVbulletChar"/>
    <w:autoRedefine/>
    <w:qFormat/>
    <w:rsid w:val="000812F6"/>
    <w:pPr>
      <w:widowControl w:val="0"/>
      <w:numPr>
        <w:numId w:val="4"/>
      </w:numPr>
      <w:autoSpaceDE w:val="0"/>
      <w:autoSpaceDN w:val="0"/>
      <w:spacing w:line="312" w:lineRule="auto"/>
    </w:pPr>
    <w:rPr>
      <w:rFonts w:ascii="Arial" w:eastAsia="Arial" w:hAnsi="Arial" w:cs="Arial"/>
      <w:color w:val="58595B"/>
      <w:spacing w:val="-5"/>
      <w:szCs w:val="20"/>
      <w:bdr w:val="nil"/>
      <w:lang w:bidi="en-US"/>
    </w:rPr>
  </w:style>
  <w:style w:type="character" w:customStyle="1" w:styleId="CVbulletChar">
    <w:name w:val="CV bullet Char"/>
    <w:basedOn w:val="BodyTextChar"/>
    <w:link w:val="CVbullet"/>
    <w:rsid w:val="000812F6"/>
    <w:rPr>
      <w:rFonts w:ascii="Arial" w:eastAsia="Arial" w:hAnsi="Arial" w:cs="Arial"/>
      <w:color w:val="58595B"/>
      <w:spacing w:val="-5"/>
      <w:sz w:val="20"/>
      <w:szCs w:val="20"/>
      <w:bdr w:val="nil"/>
      <w:lang w:bidi="en-US"/>
    </w:rPr>
  </w:style>
  <w:style w:type="paragraph" w:styleId="BodyText">
    <w:name w:val="Body Text"/>
    <w:basedOn w:val="Normal"/>
    <w:link w:val="BodyTextChar"/>
    <w:uiPriority w:val="1"/>
    <w:semiHidden/>
    <w:unhideWhenUsed/>
    <w:qFormat/>
    <w:rsid w:val="000812F6"/>
    <w:pPr>
      <w:spacing w:after="120"/>
    </w:pPr>
  </w:style>
  <w:style w:type="character" w:customStyle="1" w:styleId="BodyTextChar">
    <w:name w:val="Body Text Char"/>
    <w:basedOn w:val="DefaultParagraphFont"/>
    <w:link w:val="BodyText"/>
    <w:uiPriority w:val="1"/>
    <w:semiHidden/>
    <w:rsid w:val="000812F6"/>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Attorney%20resume.dotx" TargetMode="External"/></Relationships>
</file>

<file path=word/theme/theme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C8826-FAE8-45D8-8293-DB168F65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B396E-6226-4C7B-B1DD-E1047701B31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305926A-D910-4AE1-BBC9-5115B8B5BBE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Attorney resume</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2023-05-12T01:21:00Z</dcterms:created>
  <dcterms:modified xsi:type="dcterms:W3CDTF">2023-06-06T04:35:00Z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